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C29E"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435029">
        <w:rPr>
          <w:rFonts w:ascii="MiloOT-Medi" w:hAnsi="MiloOT-Medi" w:cstheme="minorHAnsi"/>
          <w:color w:val="00AB96"/>
          <w:sz w:val="16"/>
          <w:szCs w:val="16"/>
        </w:rPr>
      </w:r>
      <w:r w:rsidR="00435029">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6AE31EE8"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435029">
        <w:rPr>
          <w:rFonts w:ascii="MiloOT-Medi" w:hAnsi="MiloOT-Medi"/>
          <w:color w:val="002F5D"/>
          <w:sz w:val="16"/>
          <w:szCs w:val="16"/>
        </w:rPr>
      </w:r>
      <w:r w:rsidR="00435029">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26259FB2"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0C6C3B6C"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2"/>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435029">
        <w:rPr>
          <w:rFonts w:ascii="MiloOT-Light" w:hAnsi="MiloOT-Light"/>
          <w:color w:val="002F5D"/>
          <w:sz w:val="16"/>
          <w:szCs w:val="16"/>
        </w:rPr>
      </w:r>
      <w:r w:rsidR="00435029">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2F3043DA"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2"/>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435029">
        <w:rPr>
          <w:rFonts w:ascii="MiloOT-Light" w:hAnsi="MiloOT-Light"/>
          <w:color w:val="002F5D"/>
          <w:sz w:val="16"/>
          <w:szCs w:val="16"/>
        </w:rPr>
      </w:r>
      <w:r w:rsidR="00435029">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69A7BCB6"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62FF8CFF"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435029">
        <w:rPr>
          <w:rFonts w:ascii="MiloOT-Light" w:hAnsi="MiloOT-Light"/>
          <w:color w:val="002F5D"/>
          <w:sz w:val="16"/>
          <w:szCs w:val="16"/>
        </w:rPr>
      </w:r>
      <w:r w:rsidR="00435029">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00D10EA6"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6F2B9B04"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435029">
        <w:rPr>
          <w:rFonts w:ascii="MiloOT-Light" w:hAnsi="MiloOT-Light"/>
          <w:color w:val="002F5D"/>
          <w:sz w:val="16"/>
          <w:szCs w:val="16"/>
        </w:rPr>
      </w:r>
      <w:r w:rsidR="00435029">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14:paraId="137E1210" w14:textId="1480CC17" w:rsidR="007C55C0" w:rsidRPr="00EF412A" w:rsidRDefault="00F31F1D"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14:paraId="6687A097" w14:textId="77777777" w:rsidR="001B3813" w:rsidRPr="00517BAC" w:rsidRDefault="004F56FB"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6ADE9E53" wp14:editId="796CC9EA">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7C28A435"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14:paraId="3E307FE9" w14:textId="77777777" w:rsidR="00567C1E" w:rsidRDefault="00567C1E" w:rsidP="00567C1E">
      <w:pPr>
        <w:rPr>
          <w:rFonts w:ascii="MiloOT-Medi" w:hAnsi="MiloOT-Medi"/>
          <w:b/>
          <w:sz w:val="16"/>
          <w:szCs w:val="16"/>
        </w:rPr>
      </w:pPr>
    </w:p>
    <w:p w14:paraId="65A7F4D2"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7767FAB2" w14:textId="77777777" w:rsidR="00DD75CD" w:rsidRDefault="00DD75CD" w:rsidP="00DD75CD">
      <w:pPr>
        <w:spacing w:after="120" w:line="280" w:lineRule="exact"/>
        <w:ind w:right="-29"/>
        <w:rPr>
          <w:sz w:val="21"/>
          <w:szCs w:val="21"/>
        </w:rPr>
      </w:pPr>
    </w:p>
    <w:p w14:paraId="6B0979C5" w14:textId="12A995D1" w:rsidR="00DD75CD" w:rsidRDefault="00435029" w:rsidP="00DD75CD">
      <w:pPr>
        <w:spacing w:after="120" w:line="280" w:lineRule="exact"/>
        <w:ind w:right="-29"/>
        <w:rPr>
          <w:b/>
        </w:rPr>
      </w:pPr>
      <w:r>
        <w:rPr>
          <w:sz w:val="21"/>
          <w:szCs w:val="21"/>
        </w:rPr>
        <w:t>24. August 2022</w:t>
      </w:r>
      <w:bookmarkStart w:id="4" w:name="_GoBack"/>
      <w:bookmarkEnd w:id="4"/>
    </w:p>
    <w:p w14:paraId="65916530" w14:textId="77777777" w:rsidR="00567C1E" w:rsidRDefault="00567C1E" w:rsidP="00567C1E">
      <w:pPr>
        <w:rPr>
          <w:b/>
        </w:rPr>
      </w:pPr>
    </w:p>
    <w:p w14:paraId="15E3CE90"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5F7821E8" w14:textId="38269266" w:rsidR="00DD75CD" w:rsidRPr="00BC3231" w:rsidRDefault="004F56FB" w:rsidP="00DD75CD">
      <w:pPr>
        <w:spacing w:after="120" w:line="300" w:lineRule="exact"/>
        <w:ind w:right="-28"/>
        <w:rPr>
          <w:b/>
          <w:sz w:val="24"/>
          <w:szCs w:val="21"/>
        </w:rPr>
      </w:pPr>
      <w:bookmarkStart w:id="5" w:name="Anschrift"/>
      <w:bookmarkEnd w:id="5"/>
      <w:r>
        <w:rPr>
          <w:b/>
          <w:sz w:val="24"/>
          <w:szCs w:val="21"/>
        </w:rPr>
        <w:lastRenderedPageBreak/>
        <w:t xml:space="preserve">BVDM </w:t>
      </w:r>
      <w:proofErr w:type="spellStart"/>
      <w:r>
        <w:rPr>
          <w:b/>
          <w:sz w:val="24"/>
          <w:szCs w:val="21"/>
        </w:rPr>
        <w:t>digit@l</w:t>
      </w:r>
      <w:proofErr w:type="spellEnd"/>
      <w:r>
        <w:rPr>
          <w:b/>
          <w:sz w:val="24"/>
          <w:szCs w:val="21"/>
        </w:rPr>
        <w:t xml:space="preserve"> </w:t>
      </w:r>
      <w:proofErr w:type="spellStart"/>
      <w:r>
        <w:rPr>
          <w:b/>
          <w:sz w:val="24"/>
          <w:szCs w:val="21"/>
        </w:rPr>
        <w:t>guide</w:t>
      </w:r>
      <w:proofErr w:type="spellEnd"/>
      <w:r>
        <w:rPr>
          <w:b/>
          <w:sz w:val="24"/>
          <w:szCs w:val="21"/>
        </w:rPr>
        <w:t xml:space="preserve"> 2022</w:t>
      </w:r>
      <w:r w:rsidR="00B242FA">
        <w:rPr>
          <w:b/>
          <w:sz w:val="24"/>
          <w:szCs w:val="21"/>
        </w:rPr>
        <w:t xml:space="preserve">: </w:t>
      </w:r>
      <w:r w:rsidR="00572ABB">
        <w:rPr>
          <w:b/>
          <w:sz w:val="24"/>
          <w:szCs w:val="21"/>
        </w:rPr>
        <w:t>Update</w:t>
      </w:r>
      <w:r>
        <w:rPr>
          <w:b/>
          <w:sz w:val="24"/>
          <w:szCs w:val="21"/>
        </w:rPr>
        <w:t xml:space="preserve"> erschienen</w:t>
      </w:r>
    </w:p>
    <w:p w14:paraId="1EB9B8F2" w14:textId="51037931" w:rsidR="00DD75CD" w:rsidRPr="00F71684" w:rsidRDefault="004F56FB" w:rsidP="00C9278B">
      <w:pPr>
        <w:spacing w:after="240" w:line="300" w:lineRule="exact"/>
        <w:ind w:right="-28"/>
        <w:jc w:val="both"/>
        <w:rPr>
          <w:b/>
          <w:sz w:val="21"/>
          <w:szCs w:val="21"/>
        </w:rPr>
      </w:pPr>
      <w:r>
        <w:rPr>
          <w:b/>
          <w:sz w:val="21"/>
          <w:szCs w:val="21"/>
        </w:rPr>
        <w:t>Das etablierte Nachschlagewerk für jeden Arbeitsplatz</w:t>
      </w:r>
      <w:r w:rsidR="00F86248">
        <w:rPr>
          <w:b/>
          <w:sz w:val="21"/>
          <w:szCs w:val="21"/>
        </w:rPr>
        <w:t xml:space="preserve"> im Möbel- und Küchenhandel </w:t>
      </w:r>
      <w:r w:rsidR="00572ABB">
        <w:rPr>
          <w:b/>
          <w:sz w:val="21"/>
          <w:szCs w:val="21"/>
        </w:rPr>
        <w:t xml:space="preserve">erschien </w:t>
      </w:r>
      <w:r w:rsidR="00D67F39">
        <w:rPr>
          <w:b/>
          <w:sz w:val="21"/>
          <w:szCs w:val="21"/>
        </w:rPr>
        <w:t>im Januar</w:t>
      </w:r>
      <w:r w:rsidR="00572ABB">
        <w:rPr>
          <w:b/>
          <w:sz w:val="21"/>
          <w:szCs w:val="21"/>
        </w:rPr>
        <w:t xml:space="preserve"> 2022 erstmalig </w:t>
      </w:r>
      <w:r>
        <w:rPr>
          <w:b/>
          <w:sz w:val="21"/>
          <w:szCs w:val="21"/>
        </w:rPr>
        <w:t xml:space="preserve">als </w:t>
      </w:r>
      <w:r w:rsidR="00A52F66">
        <w:rPr>
          <w:b/>
          <w:sz w:val="21"/>
          <w:szCs w:val="21"/>
        </w:rPr>
        <w:t xml:space="preserve">browserbasiertes </w:t>
      </w:r>
      <w:proofErr w:type="spellStart"/>
      <w:r w:rsidR="00A52F66">
        <w:rPr>
          <w:b/>
          <w:sz w:val="21"/>
          <w:szCs w:val="21"/>
        </w:rPr>
        <w:t>Flipbook</w:t>
      </w:r>
      <w:proofErr w:type="spellEnd"/>
      <w:r w:rsidR="00A52F66">
        <w:rPr>
          <w:b/>
          <w:sz w:val="21"/>
          <w:szCs w:val="21"/>
        </w:rPr>
        <w:t xml:space="preserve"> und im PDF-Format</w:t>
      </w:r>
      <w:r w:rsidR="00572ABB">
        <w:rPr>
          <w:b/>
          <w:sz w:val="21"/>
          <w:szCs w:val="21"/>
        </w:rPr>
        <w:t xml:space="preserve"> in einer kostenlosen Basis- und einer kostenpflichtigen Pro-Version. Die Pro-Version hat nun ein inhaltliches Update erhalten und steht ab sofort </w:t>
      </w:r>
      <w:r w:rsidR="00B242FA">
        <w:rPr>
          <w:b/>
          <w:sz w:val="21"/>
          <w:szCs w:val="21"/>
        </w:rPr>
        <w:t>allen Abonnenten zur Verfügung.</w:t>
      </w:r>
    </w:p>
    <w:p w14:paraId="55F8D276" w14:textId="41557B5F" w:rsidR="00A52F66" w:rsidRDefault="00597D11" w:rsidP="00C9278B">
      <w:pPr>
        <w:spacing w:before="120" w:line="360" w:lineRule="auto"/>
        <w:ind w:right="-28"/>
        <w:jc w:val="both"/>
        <w:rPr>
          <w:sz w:val="21"/>
          <w:szCs w:val="21"/>
        </w:rPr>
      </w:pPr>
      <w:r>
        <w:rPr>
          <w:sz w:val="21"/>
          <w:szCs w:val="21"/>
        </w:rPr>
        <w:t xml:space="preserve">Der „BVDM </w:t>
      </w:r>
      <w:proofErr w:type="spellStart"/>
      <w:r>
        <w:rPr>
          <w:sz w:val="21"/>
          <w:szCs w:val="21"/>
        </w:rPr>
        <w:t>digit@l</w:t>
      </w:r>
      <w:proofErr w:type="spellEnd"/>
      <w:r>
        <w:rPr>
          <w:sz w:val="21"/>
          <w:szCs w:val="21"/>
        </w:rPr>
        <w:t xml:space="preserve"> </w:t>
      </w:r>
      <w:proofErr w:type="spellStart"/>
      <w:r>
        <w:rPr>
          <w:sz w:val="21"/>
          <w:szCs w:val="21"/>
        </w:rPr>
        <w:t>guide</w:t>
      </w:r>
      <w:proofErr w:type="spellEnd"/>
      <w:r>
        <w:rPr>
          <w:sz w:val="21"/>
          <w:szCs w:val="21"/>
        </w:rPr>
        <w:t xml:space="preserve"> 2022“</w:t>
      </w:r>
      <w:r w:rsidR="00D67F39">
        <w:rPr>
          <w:sz w:val="21"/>
          <w:szCs w:val="21"/>
        </w:rPr>
        <w:t xml:space="preserve">, </w:t>
      </w:r>
      <w:r w:rsidR="005E34C6">
        <w:rPr>
          <w:sz w:val="21"/>
          <w:szCs w:val="21"/>
        </w:rPr>
        <w:t>das Nachschlagewerk</w:t>
      </w:r>
      <w:r w:rsidR="00A52F66" w:rsidRPr="00A52F66">
        <w:rPr>
          <w:sz w:val="21"/>
          <w:szCs w:val="21"/>
        </w:rPr>
        <w:t xml:space="preserve"> </w:t>
      </w:r>
      <w:r w:rsidR="00D67F39">
        <w:rPr>
          <w:sz w:val="21"/>
          <w:szCs w:val="21"/>
        </w:rPr>
        <w:t xml:space="preserve">für Führungskräfte und Mitarbeiter des Möbel-, Küchen- und Einrichtungsfachhandels, wurde inhaltlich aktualisiert und steht ab sofort allen Abonnenten zur Verfügung. </w:t>
      </w:r>
      <w:r w:rsidR="00B242FA">
        <w:rPr>
          <w:sz w:val="21"/>
          <w:szCs w:val="21"/>
        </w:rPr>
        <w:t>Das digitale Handbuch</w:t>
      </w:r>
      <w:r>
        <w:rPr>
          <w:sz w:val="21"/>
          <w:szCs w:val="21"/>
        </w:rPr>
        <w:t xml:space="preserve"> bündelt </w:t>
      </w:r>
      <w:r w:rsidR="00A52F66" w:rsidRPr="00A52F66">
        <w:rPr>
          <w:sz w:val="21"/>
          <w:szCs w:val="21"/>
        </w:rPr>
        <w:t xml:space="preserve">relevante Informationen für den erfolgreichen Geschäftsbetrieb, umfangreiche Statistiken, Auszüge der wichtigsten Gesetze und Verordnungen für den Möbel- und Küchenfachhandel sowie viele nützliche Branchenadressen und Messetermine. </w:t>
      </w:r>
      <w:r>
        <w:rPr>
          <w:sz w:val="21"/>
          <w:szCs w:val="21"/>
        </w:rPr>
        <w:t xml:space="preserve">Das Update </w:t>
      </w:r>
      <w:r w:rsidR="00860A65">
        <w:rPr>
          <w:sz w:val="21"/>
          <w:szCs w:val="21"/>
        </w:rPr>
        <w:t>beinhaltet</w:t>
      </w:r>
      <w:r>
        <w:rPr>
          <w:sz w:val="21"/>
          <w:szCs w:val="21"/>
        </w:rPr>
        <w:t xml:space="preserve"> unter anderem </w:t>
      </w:r>
      <w:r w:rsidR="00860A65" w:rsidRPr="00F86248">
        <w:rPr>
          <w:b/>
          <w:sz w:val="21"/>
          <w:szCs w:val="21"/>
        </w:rPr>
        <w:t>Leitfäden</w:t>
      </w:r>
      <w:r w:rsidR="00860A65">
        <w:rPr>
          <w:sz w:val="21"/>
          <w:szCs w:val="21"/>
        </w:rPr>
        <w:t xml:space="preserve">, </w:t>
      </w:r>
      <w:r w:rsidR="00860A65" w:rsidRPr="00F86248">
        <w:rPr>
          <w:b/>
          <w:sz w:val="21"/>
          <w:szCs w:val="21"/>
        </w:rPr>
        <w:t>Positionspapiere</w:t>
      </w:r>
      <w:r w:rsidR="00860A65">
        <w:rPr>
          <w:sz w:val="21"/>
          <w:szCs w:val="21"/>
        </w:rPr>
        <w:t xml:space="preserve"> und </w:t>
      </w:r>
      <w:r w:rsidR="00860A65" w:rsidRPr="00F86248">
        <w:rPr>
          <w:b/>
          <w:sz w:val="21"/>
          <w:szCs w:val="21"/>
        </w:rPr>
        <w:t>Studien</w:t>
      </w:r>
      <w:r w:rsidR="00860A65">
        <w:rPr>
          <w:sz w:val="21"/>
          <w:szCs w:val="21"/>
        </w:rPr>
        <w:t xml:space="preserve"> des BVDM</w:t>
      </w:r>
      <w:r w:rsidR="00B242FA">
        <w:rPr>
          <w:sz w:val="21"/>
          <w:szCs w:val="21"/>
        </w:rPr>
        <w:t xml:space="preserve"> sowie</w:t>
      </w:r>
      <w:r w:rsidR="00860A65">
        <w:rPr>
          <w:sz w:val="21"/>
          <w:szCs w:val="21"/>
        </w:rPr>
        <w:t xml:space="preserve"> wichtige </w:t>
      </w:r>
      <w:r w:rsidR="00860A65" w:rsidRPr="00F86248">
        <w:rPr>
          <w:b/>
          <w:sz w:val="21"/>
          <w:szCs w:val="21"/>
        </w:rPr>
        <w:t>rechtliche Hinweise</w:t>
      </w:r>
      <w:r w:rsidR="00860A65">
        <w:rPr>
          <w:sz w:val="21"/>
          <w:szCs w:val="21"/>
        </w:rPr>
        <w:t xml:space="preserve"> zum </w:t>
      </w:r>
      <w:r w:rsidR="00860A65" w:rsidRPr="00F86248">
        <w:rPr>
          <w:b/>
          <w:sz w:val="21"/>
          <w:szCs w:val="21"/>
        </w:rPr>
        <w:t>Lieferkettengesetz</w:t>
      </w:r>
      <w:r w:rsidR="00860A65">
        <w:rPr>
          <w:sz w:val="21"/>
          <w:szCs w:val="21"/>
        </w:rPr>
        <w:t xml:space="preserve">, zur </w:t>
      </w:r>
      <w:proofErr w:type="spellStart"/>
      <w:r w:rsidR="00860A65" w:rsidRPr="00F86248">
        <w:rPr>
          <w:b/>
          <w:sz w:val="21"/>
          <w:szCs w:val="21"/>
        </w:rPr>
        <w:t>Preisangabe</w:t>
      </w:r>
      <w:r w:rsidR="004E6A3D">
        <w:rPr>
          <w:b/>
          <w:sz w:val="21"/>
          <w:szCs w:val="21"/>
        </w:rPr>
        <w:t>n</w:t>
      </w:r>
      <w:r w:rsidR="00860A65" w:rsidRPr="00F86248">
        <w:rPr>
          <w:b/>
          <w:sz w:val="21"/>
          <w:szCs w:val="21"/>
        </w:rPr>
        <w:t>verordnung</w:t>
      </w:r>
      <w:proofErr w:type="spellEnd"/>
      <w:r w:rsidR="00860A65">
        <w:rPr>
          <w:sz w:val="21"/>
          <w:szCs w:val="21"/>
        </w:rPr>
        <w:t xml:space="preserve"> </w:t>
      </w:r>
      <w:r w:rsidR="00B242FA">
        <w:rPr>
          <w:sz w:val="21"/>
          <w:szCs w:val="21"/>
        </w:rPr>
        <w:t>und</w:t>
      </w:r>
      <w:r w:rsidR="00860A65">
        <w:rPr>
          <w:sz w:val="21"/>
          <w:szCs w:val="21"/>
        </w:rPr>
        <w:t xml:space="preserve"> zum </w:t>
      </w:r>
      <w:r w:rsidR="00860A65" w:rsidRPr="00F86248">
        <w:rPr>
          <w:b/>
          <w:sz w:val="21"/>
          <w:szCs w:val="21"/>
        </w:rPr>
        <w:t>Verpackungsgesetz</w:t>
      </w:r>
      <w:r w:rsidR="00860A65">
        <w:rPr>
          <w:sz w:val="21"/>
          <w:szCs w:val="21"/>
        </w:rPr>
        <w:t xml:space="preserve">. </w:t>
      </w:r>
    </w:p>
    <w:p w14:paraId="0A599231" w14:textId="4F6867A2" w:rsidR="00860A65" w:rsidRPr="00A52F66" w:rsidRDefault="00860A65" w:rsidP="00C9278B">
      <w:pPr>
        <w:spacing w:before="120" w:line="360" w:lineRule="auto"/>
        <w:ind w:right="-28"/>
        <w:jc w:val="both"/>
        <w:rPr>
          <w:sz w:val="21"/>
          <w:szCs w:val="21"/>
        </w:rPr>
      </w:pPr>
      <w:r>
        <w:rPr>
          <w:sz w:val="21"/>
          <w:szCs w:val="21"/>
        </w:rPr>
        <w:t xml:space="preserve">Christian Haeser, Geschäftsführer </w:t>
      </w:r>
      <w:r w:rsidR="00E1396F">
        <w:rPr>
          <w:sz w:val="21"/>
          <w:szCs w:val="21"/>
        </w:rPr>
        <w:t>Handelsverband Möbel und Küchen (</w:t>
      </w:r>
      <w:r>
        <w:rPr>
          <w:sz w:val="21"/>
          <w:szCs w:val="21"/>
        </w:rPr>
        <w:t>BVDM</w:t>
      </w:r>
      <w:r w:rsidR="00E1396F">
        <w:rPr>
          <w:sz w:val="21"/>
          <w:szCs w:val="21"/>
        </w:rPr>
        <w:t>)</w:t>
      </w:r>
      <w:r>
        <w:rPr>
          <w:sz w:val="21"/>
          <w:szCs w:val="21"/>
        </w:rPr>
        <w:t>, über das Update: „</w:t>
      </w:r>
      <w:r w:rsidR="00E1396F">
        <w:rPr>
          <w:sz w:val="21"/>
          <w:szCs w:val="21"/>
        </w:rPr>
        <w:t>Wir freuen uns sehr, da</w:t>
      </w:r>
      <w:r w:rsidR="00F86248">
        <w:rPr>
          <w:sz w:val="21"/>
          <w:szCs w:val="21"/>
        </w:rPr>
        <w:t>ss die digitale Version des ursprünglichen</w:t>
      </w:r>
      <w:r w:rsidR="00E1396F">
        <w:rPr>
          <w:sz w:val="21"/>
          <w:szCs w:val="21"/>
        </w:rPr>
        <w:t xml:space="preserve"> BVDM-Taschenbuchs </w:t>
      </w:r>
      <w:r w:rsidR="00F86248">
        <w:rPr>
          <w:sz w:val="21"/>
          <w:szCs w:val="21"/>
        </w:rPr>
        <w:t xml:space="preserve">auf </w:t>
      </w:r>
      <w:r w:rsidR="00E1396F">
        <w:rPr>
          <w:sz w:val="21"/>
          <w:szCs w:val="21"/>
        </w:rPr>
        <w:t>sehr großen Anklang gestoßen ist. Gerade die positive Resonanz auf die ständig aktualisierte Pro-Version zeigt uns, dass wir d</w:t>
      </w:r>
      <w:r w:rsidR="004E6A3D">
        <w:rPr>
          <w:sz w:val="21"/>
          <w:szCs w:val="21"/>
        </w:rPr>
        <w:t>em Handel mit dem ´BVDM </w:t>
      </w:r>
      <w:proofErr w:type="spellStart"/>
      <w:r w:rsidR="004E6A3D">
        <w:rPr>
          <w:sz w:val="21"/>
          <w:szCs w:val="21"/>
        </w:rPr>
        <w:t>digit@l</w:t>
      </w:r>
      <w:proofErr w:type="spellEnd"/>
      <w:r w:rsidR="004E6A3D">
        <w:rPr>
          <w:sz w:val="21"/>
          <w:szCs w:val="21"/>
        </w:rPr>
        <w:t> </w:t>
      </w:r>
      <w:proofErr w:type="spellStart"/>
      <w:r w:rsidR="00E1396F">
        <w:rPr>
          <w:sz w:val="21"/>
          <w:szCs w:val="21"/>
        </w:rPr>
        <w:t>guide</w:t>
      </w:r>
      <w:proofErr w:type="spellEnd"/>
      <w:r w:rsidR="00F86248">
        <w:rPr>
          <w:sz w:val="21"/>
          <w:szCs w:val="21"/>
        </w:rPr>
        <w:t>´ relevante</w:t>
      </w:r>
      <w:r w:rsidR="00E1396F">
        <w:rPr>
          <w:sz w:val="21"/>
          <w:szCs w:val="21"/>
        </w:rPr>
        <w:t xml:space="preserve"> Mehrwert</w:t>
      </w:r>
      <w:r w:rsidR="00F86248">
        <w:rPr>
          <w:sz w:val="21"/>
          <w:szCs w:val="21"/>
        </w:rPr>
        <w:t>e</w:t>
      </w:r>
      <w:r w:rsidR="00E1396F">
        <w:rPr>
          <w:sz w:val="21"/>
          <w:szCs w:val="21"/>
        </w:rPr>
        <w:t xml:space="preserve"> bieten. Wir werden die Digitalisierung auch 2023 sukzessive </w:t>
      </w:r>
      <w:r w:rsidR="00F86248">
        <w:rPr>
          <w:sz w:val="21"/>
          <w:szCs w:val="21"/>
        </w:rPr>
        <w:t>bis hin zu einer Onlinep</w:t>
      </w:r>
      <w:r w:rsidR="00A038C8">
        <w:rPr>
          <w:sz w:val="21"/>
          <w:szCs w:val="21"/>
        </w:rPr>
        <w:t>lattform für den Möbelhandel for</w:t>
      </w:r>
      <w:r w:rsidR="00F86248">
        <w:rPr>
          <w:sz w:val="21"/>
          <w:szCs w:val="21"/>
        </w:rPr>
        <w:t>t</w:t>
      </w:r>
      <w:r w:rsidR="00A038C8">
        <w:rPr>
          <w:sz w:val="21"/>
          <w:szCs w:val="21"/>
        </w:rPr>
        <w:t>führen.“</w:t>
      </w:r>
    </w:p>
    <w:p w14:paraId="45AEDBB3" w14:textId="25647807" w:rsidR="00A52F66" w:rsidRPr="00A52F66" w:rsidRDefault="00A52F66" w:rsidP="00C9278B">
      <w:pPr>
        <w:spacing w:before="120" w:line="360" w:lineRule="auto"/>
        <w:ind w:right="-28"/>
        <w:jc w:val="both"/>
        <w:rPr>
          <w:sz w:val="21"/>
          <w:szCs w:val="21"/>
        </w:rPr>
      </w:pPr>
      <w:r w:rsidRPr="00A52F66">
        <w:rPr>
          <w:sz w:val="21"/>
          <w:szCs w:val="21"/>
        </w:rPr>
        <w:t xml:space="preserve">Der „BVDM </w:t>
      </w:r>
      <w:proofErr w:type="spellStart"/>
      <w:r w:rsidRPr="00A52F66">
        <w:rPr>
          <w:sz w:val="21"/>
          <w:szCs w:val="21"/>
        </w:rPr>
        <w:t>digit@l</w:t>
      </w:r>
      <w:proofErr w:type="spellEnd"/>
      <w:r w:rsidRPr="00A52F66">
        <w:rPr>
          <w:sz w:val="21"/>
          <w:szCs w:val="21"/>
        </w:rPr>
        <w:t xml:space="preserve"> </w:t>
      </w:r>
      <w:proofErr w:type="spellStart"/>
      <w:r w:rsidRPr="00A52F66">
        <w:rPr>
          <w:sz w:val="21"/>
          <w:szCs w:val="21"/>
        </w:rPr>
        <w:t>gu</w:t>
      </w:r>
      <w:r w:rsidR="005E34C6">
        <w:rPr>
          <w:sz w:val="21"/>
          <w:szCs w:val="21"/>
        </w:rPr>
        <w:t>ide</w:t>
      </w:r>
      <w:proofErr w:type="spellEnd"/>
      <w:r w:rsidR="005E34C6">
        <w:rPr>
          <w:sz w:val="21"/>
          <w:szCs w:val="21"/>
        </w:rPr>
        <w:t xml:space="preserve"> 2022“ wurde in Zusammenarbeit mit den Experten von</w:t>
      </w:r>
      <w:r w:rsidRPr="00A52F66">
        <w:rPr>
          <w:sz w:val="21"/>
          <w:szCs w:val="21"/>
        </w:rPr>
        <w:t xml:space="preserve"> </w:t>
      </w:r>
      <w:proofErr w:type="spellStart"/>
      <w:r w:rsidRPr="00A52F66">
        <w:rPr>
          <w:sz w:val="21"/>
          <w:szCs w:val="21"/>
        </w:rPr>
        <w:t>Vincentz</w:t>
      </w:r>
      <w:proofErr w:type="spellEnd"/>
      <w:r w:rsidRPr="00A52F66">
        <w:rPr>
          <w:sz w:val="21"/>
          <w:szCs w:val="21"/>
        </w:rPr>
        <w:t xml:space="preserve"> Network (</w:t>
      </w:r>
      <w:proofErr w:type="spellStart"/>
      <w:r w:rsidRPr="00A52F66">
        <w:rPr>
          <w:sz w:val="21"/>
          <w:szCs w:val="21"/>
        </w:rPr>
        <w:t>möbel</w:t>
      </w:r>
      <w:proofErr w:type="spellEnd"/>
      <w:r w:rsidRPr="00A52F66">
        <w:rPr>
          <w:sz w:val="21"/>
          <w:szCs w:val="21"/>
        </w:rPr>
        <w:t xml:space="preserve"> </w:t>
      </w:r>
      <w:proofErr w:type="spellStart"/>
      <w:r w:rsidRPr="00A52F66">
        <w:rPr>
          <w:sz w:val="21"/>
          <w:szCs w:val="21"/>
        </w:rPr>
        <w:t>kultur</w:t>
      </w:r>
      <w:proofErr w:type="spellEnd"/>
      <w:r w:rsidRPr="00A52F66">
        <w:rPr>
          <w:sz w:val="21"/>
          <w:szCs w:val="21"/>
        </w:rPr>
        <w:t>), Möbelsachverständigen und Dozenten der Fachschule des Möbelhandels (</w:t>
      </w:r>
      <w:proofErr w:type="spellStart"/>
      <w:r w:rsidRPr="00A52F66">
        <w:rPr>
          <w:sz w:val="21"/>
          <w:szCs w:val="21"/>
        </w:rPr>
        <w:t>MöFa</w:t>
      </w:r>
      <w:proofErr w:type="spellEnd"/>
      <w:r w:rsidRPr="00A52F66">
        <w:rPr>
          <w:sz w:val="21"/>
          <w:szCs w:val="21"/>
        </w:rPr>
        <w:t>) sowie BVDM-Mitarbeitern</w:t>
      </w:r>
      <w:r w:rsidR="005E34C6">
        <w:rPr>
          <w:sz w:val="21"/>
          <w:szCs w:val="21"/>
        </w:rPr>
        <w:t xml:space="preserve"> fertiggestellt</w:t>
      </w:r>
      <w:r w:rsidRPr="00A52F66">
        <w:rPr>
          <w:sz w:val="21"/>
          <w:szCs w:val="21"/>
        </w:rPr>
        <w:t xml:space="preserve">. </w:t>
      </w:r>
    </w:p>
    <w:p w14:paraId="602F2BE8" w14:textId="50F4E52A" w:rsidR="00DD604F" w:rsidRDefault="00DD604F" w:rsidP="00C9278B">
      <w:pPr>
        <w:spacing w:before="120" w:line="360" w:lineRule="auto"/>
        <w:ind w:right="-28"/>
        <w:jc w:val="both"/>
        <w:rPr>
          <w:sz w:val="21"/>
          <w:szCs w:val="21"/>
        </w:rPr>
      </w:pPr>
      <w:r>
        <w:rPr>
          <w:sz w:val="21"/>
          <w:szCs w:val="21"/>
        </w:rPr>
        <w:t xml:space="preserve">Die Jahreslizenz für die </w:t>
      </w:r>
      <w:r w:rsidR="00C9278B">
        <w:rPr>
          <w:sz w:val="21"/>
          <w:szCs w:val="21"/>
        </w:rPr>
        <w:t xml:space="preserve">Pro-Version des „BVDM </w:t>
      </w:r>
      <w:proofErr w:type="spellStart"/>
      <w:r w:rsidR="00C9278B">
        <w:rPr>
          <w:sz w:val="21"/>
          <w:szCs w:val="21"/>
        </w:rPr>
        <w:t>digit@l</w:t>
      </w:r>
      <w:proofErr w:type="spellEnd"/>
      <w:r w:rsidR="00C9278B">
        <w:rPr>
          <w:sz w:val="21"/>
          <w:szCs w:val="21"/>
        </w:rPr>
        <w:t xml:space="preserve"> </w:t>
      </w:r>
      <w:proofErr w:type="spellStart"/>
      <w:r w:rsidR="00C9278B">
        <w:rPr>
          <w:sz w:val="21"/>
          <w:szCs w:val="21"/>
        </w:rPr>
        <w:t>guide</w:t>
      </w:r>
      <w:proofErr w:type="spellEnd"/>
      <w:r w:rsidR="00C9278B">
        <w:rPr>
          <w:sz w:val="21"/>
          <w:szCs w:val="21"/>
        </w:rPr>
        <w:t xml:space="preserve"> 2022“ ist zum Preis von</w:t>
      </w:r>
      <w:r w:rsidR="00A52F66" w:rsidRPr="00A52F66">
        <w:rPr>
          <w:sz w:val="21"/>
          <w:szCs w:val="21"/>
        </w:rPr>
        <w:t xml:space="preserve"> 49 Euro zzgl. MwSt. </w:t>
      </w:r>
      <w:r w:rsidR="00C9278B">
        <w:rPr>
          <w:sz w:val="21"/>
          <w:szCs w:val="21"/>
        </w:rPr>
        <w:t xml:space="preserve">beim BVDM unter </w:t>
      </w:r>
      <w:hyperlink r:id="rId9" w:history="1">
        <w:r w:rsidR="00C9278B" w:rsidRPr="00653035">
          <w:rPr>
            <w:rStyle w:val="Hyperlink"/>
            <w:sz w:val="21"/>
            <w:szCs w:val="21"/>
          </w:rPr>
          <w:t>bvdm@hwb.online</w:t>
        </w:r>
      </w:hyperlink>
      <w:r w:rsidR="00C9278B">
        <w:rPr>
          <w:sz w:val="21"/>
          <w:szCs w:val="21"/>
        </w:rPr>
        <w:t xml:space="preserve"> zu beziehen.</w:t>
      </w:r>
    </w:p>
    <w:p w14:paraId="0AB3CFD1" w14:textId="77777777" w:rsidR="00DD604F" w:rsidRDefault="00DD604F">
      <w:pPr>
        <w:rPr>
          <w:sz w:val="21"/>
          <w:szCs w:val="21"/>
        </w:rPr>
      </w:pPr>
      <w:r>
        <w:rPr>
          <w:sz w:val="21"/>
          <w:szCs w:val="21"/>
        </w:rPr>
        <w:br w:type="page"/>
      </w:r>
    </w:p>
    <w:p w14:paraId="3AE1D81A" w14:textId="5A0D5ED7" w:rsidR="00F71684" w:rsidRPr="00DD604F" w:rsidRDefault="00DD604F" w:rsidP="00DD604F">
      <w:pPr>
        <w:spacing w:before="120" w:line="360" w:lineRule="auto"/>
        <w:ind w:right="-28"/>
        <w:jc w:val="both"/>
        <w:rPr>
          <w:sz w:val="21"/>
          <w:szCs w:val="21"/>
          <w:u w:val="single"/>
        </w:rPr>
      </w:pPr>
      <w:r w:rsidRPr="00DD604F">
        <w:rPr>
          <w:b/>
          <w:sz w:val="24"/>
          <w:szCs w:val="21"/>
          <w:u w:val="single"/>
        </w:rPr>
        <w:lastRenderedPageBreak/>
        <w:t xml:space="preserve">Der BVDM </w:t>
      </w:r>
      <w:proofErr w:type="spellStart"/>
      <w:r w:rsidRPr="00DD604F">
        <w:rPr>
          <w:b/>
          <w:sz w:val="24"/>
          <w:szCs w:val="21"/>
          <w:u w:val="single"/>
        </w:rPr>
        <w:t>digit@l</w:t>
      </w:r>
      <w:proofErr w:type="spellEnd"/>
      <w:r w:rsidRPr="00DD604F">
        <w:rPr>
          <w:b/>
          <w:sz w:val="24"/>
          <w:szCs w:val="21"/>
          <w:u w:val="single"/>
        </w:rPr>
        <w:t xml:space="preserve"> </w:t>
      </w:r>
      <w:proofErr w:type="spellStart"/>
      <w:r w:rsidRPr="00DD604F">
        <w:rPr>
          <w:b/>
          <w:sz w:val="24"/>
          <w:szCs w:val="21"/>
          <w:u w:val="single"/>
        </w:rPr>
        <w:t>guide</w:t>
      </w:r>
      <w:proofErr w:type="spellEnd"/>
      <w:r w:rsidRPr="00DD604F">
        <w:rPr>
          <w:b/>
          <w:sz w:val="24"/>
          <w:szCs w:val="21"/>
          <w:u w:val="single"/>
        </w:rPr>
        <w:t xml:space="preserve"> 2022</w:t>
      </w:r>
    </w:p>
    <w:p w14:paraId="0CB440DF" w14:textId="0FBEEF78" w:rsidR="00F71684" w:rsidRDefault="00DD604F" w:rsidP="00C9278B">
      <w:pPr>
        <w:spacing w:before="120" w:line="360" w:lineRule="auto"/>
        <w:ind w:right="-28"/>
        <w:jc w:val="both"/>
        <w:rPr>
          <w:sz w:val="21"/>
          <w:szCs w:val="21"/>
        </w:rPr>
      </w:pPr>
      <w:r w:rsidRPr="00DD604F">
        <w:rPr>
          <w:sz w:val="21"/>
          <w:szCs w:val="21"/>
          <w:u w:val="single"/>
        </w:rPr>
        <w:t>Basis-Version</w:t>
      </w:r>
      <w:r>
        <w:rPr>
          <w:sz w:val="21"/>
          <w:szCs w:val="21"/>
        </w:rPr>
        <w:tab/>
      </w:r>
      <w:r>
        <w:rPr>
          <w:sz w:val="21"/>
          <w:szCs w:val="21"/>
        </w:rPr>
        <w:tab/>
      </w:r>
      <w:r>
        <w:rPr>
          <w:sz w:val="21"/>
          <w:szCs w:val="21"/>
        </w:rPr>
        <w:tab/>
      </w:r>
      <w:r>
        <w:rPr>
          <w:sz w:val="21"/>
          <w:szCs w:val="21"/>
        </w:rPr>
        <w:tab/>
      </w:r>
      <w:r w:rsidRPr="00DD604F">
        <w:rPr>
          <w:sz w:val="21"/>
          <w:szCs w:val="21"/>
          <w:u w:val="single"/>
        </w:rPr>
        <w:t>Pro-Version</w:t>
      </w:r>
    </w:p>
    <w:p w14:paraId="515335F4" w14:textId="0D0269E5" w:rsidR="00DD604F" w:rsidRDefault="00DD604F" w:rsidP="00C9278B">
      <w:pPr>
        <w:spacing w:before="120" w:line="360" w:lineRule="auto"/>
        <w:ind w:right="-28"/>
        <w:jc w:val="both"/>
        <w:rPr>
          <w:sz w:val="21"/>
          <w:szCs w:val="21"/>
        </w:rPr>
      </w:pPr>
      <w:r>
        <w:rPr>
          <w:noProof/>
          <w:sz w:val="21"/>
          <w:szCs w:val="21"/>
        </w:rPr>
        <w:drawing>
          <wp:inline distT="0" distB="0" distL="0" distR="0" wp14:anchorId="5CF85509" wp14:editId="00B3C23C">
            <wp:extent cx="1229331" cy="1732602"/>
            <wp:effectExtent l="0" t="0" r="952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el_BVDM Guide 2022_Basisversion_kl.jpg"/>
                    <pic:cNvPicPr/>
                  </pic:nvPicPr>
                  <pic:blipFill>
                    <a:blip r:embed="rId10">
                      <a:extLst>
                        <a:ext uri="{28A0092B-C50C-407E-A947-70E740481C1C}">
                          <a14:useLocalDpi xmlns:a14="http://schemas.microsoft.com/office/drawing/2010/main" val="0"/>
                        </a:ext>
                      </a:extLst>
                    </a:blip>
                    <a:stretch>
                      <a:fillRect/>
                    </a:stretch>
                  </pic:blipFill>
                  <pic:spPr>
                    <a:xfrm>
                      <a:off x="0" y="0"/>
                      <a:ext cx="1240182" cy="1747896"/>
                    </a:xfrm>
                    <a:prstGeom prst="rect">
                      <a:avLst/>
                    </a:prstGeom>
                  </pic:spPr>
                </pic:pic>
              </a:graphicData>
            </a:graphic>
          </wp:inline>
        </w:drawing>
      </w:r>
      <w:r>
        <w:rPr>
          <w:sz w:val="21"/>
          <w:szCs w:val="21"/>
        </w:rPr>
        <w:tab/>
      </w:r>
      <w:r>
        <w:rPr>
          <w:sz w:val="21"/>
          <w:szCs w:val="21"/>
        </w:rPr>
        <w:tab/>
      </w:r>
      <w:r>
        <w:rPr>
          <w:sz w:val="21"/>
          <w:szCs w:val="21"/>
        </w:rPr>
        <w:tab/>
      </w:r>
      <w:r w:rsidR="00F86248">
        <w:rPr>
          <w:noProof/>
          <w:sz w:val="21"/>
          <w:szCs w:val="21"/>
        </w:rPr>
        <w:drawing>
          <wp:inline distT="0" distB="0" distL="0" distR="0" wp14:anchorId="30A5234D" wp14:editId="2E7CD7C5">
            <wp:extent cx="1226634" cy="172101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tel_BVDM_digital guide_Update_Pro-Version.JPG"/>
                    <pic:cNvPicPr/>
                  </pic:nvPicPr>
                  <pic:blipFill>
                    <a:blip r:embed="rId11">
                      <a:extLst>
                        <a:ext uri="{28A0092B-C50C-407E-A947-70E740481C1C}">
                          <a14:useLocalDpi xmlns:a14="http://schemas.microsoft.com/office/drawing/2010/main" val="0"/>
                        </a:ext>
                      </a:extLst>
                    </a:blip>
                    <a:stretch>
                      <a:fillRect/>
                    </a:stretch>
                  </pic:blipFill>
                  <pic:spPr>
                    <a:xfrm>
                      <a:off x="0" y="0"/>
                      <a:ext cx="1248354" cy="1751491"/>
                    </a:xfrm>
                    <a:prstGeom prst="rect">
                      <a:avLst/>
                    </a:prstGeom>
                  </pic:spPr>
                </pic:pic>
              </a:graphicData>
            </a:graphic>
          </wp:inline>
        </w:drawing>
      </w:r>
    </w:p>
    <w:p w14:paraId="7E22B242" w14:textId="76A584C2" w:rsidR="00DD604F" w:rsidRDefault="00337363" w:rsidP="00C9278B">
      <w:pPr>
        <w:spacing w:before="120" w:line="360" w:lineRule="auto"/>
        <w:ind w:right="-28"/>
        <w:jc w:val="both"/>
        <w:rPr>
          <w:sz w:val="21"/>
          <w:szCs w:val="21"/>
        </w:rPr>
      </w:pPr>
      <w:r>
        <w:rPr>
          <w:noProof/>
          <w:sz w:val="21"/>
          <w:szCs w:val="21"/>
        </w:rPr>
        <w:drawing>
          <wp:inline distT="0" distB="0" distL="0" distR="0" wp14:anchorId="0A8A4CF1" wp14:editId="1B8E5805">
            <wp:extent cx="952500" cy="9525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_BVDM Guide 2022 Basisversion.jpg"/>
                    <pic:cNvPicPr/>
                  </pic:nvPicPr>
                  <pic:blipFill>
                    <a:blip r:embed="rId12">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r>
        <w:rPr>
          <w:sz w:val="21"/>
          <w:szCs w:val="21"/>
        </w:rPr>
        <w:tab/>
      </w:r>
      <w:r>
        <w:rPr>
          <w:sz w:val="21"/>
          <w:szCs w:val="21"/>
        </w:rPr>
        <w:tab/>
      </w:r>
      <w:r>
        <w:rPr>
          <w:sz w:val="21"/>
          <w:szCs w:val="21"/>
        </w:rPr>
        <w:tab/>
      </w:r>
      <w:r>
        <w:rPr>
          <w:noProof/>
          <w:sz w:val="21"/>
          <w:szCs w:val="21"/>
        </w:rPr>
        <w:drawing>
          <wp:inline distT="0" distB="0" distL="0" distR="0" wp14:anchorId="4590B9C1" wp14:editId="0BE8E9E8">
            <wp:extent cx="970433" cy="970433"/>
            <wp:effectExtent l="0" t="0" r="127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_BVDM Guide 2022 Pro Version.png"/>
                    <pic:cNvPicPr/>
                  </pic:nvPicPr>
                  <pic:blipFill>
                    <a:blip r:embed="rId13">
                      <a:extLst>
                        <a:ext uri="{28A0092B-C50C-407E-A947-70E740481C1C}">
                          <a14:useLocalDpi xmlns:a14="http://schemas.microsoft.com/office/drawing/2010/main" val="0"/>
                        </a:ext>
                      </a:extLst>
                    </a:blip>
                    <a:stretch>
                      <a:fillRect/>
                    </a:stretch>
                  </pic:blipFill>
                  <pic:spPr>
                    <a:xfrm>
                      <a:off x="0" y="0"/>
                      <a:ext cx="1017749" cy="1017749"/>
                    </a:xfrm>
                    <a:prstGeom prst="rect">
                      <a:avLst/>
                    </a:prstGeom>
                  </pic:spPr>
                </pic:pic>
              </a:graphicData>
            </a:graphic>
          </wp:inline>
        </w:drawing>
      </w:r>
    </w:p>
    <w:p w14:paraId="51560E9D" w14:textId="3FF8255B" w:rsidR="00337363" w:rsidRPr="00337363" w:rsidRDefault="004E6A3D" w:rsidP="00C9278B">
      <w:pPr>
        <w:spacing w:before="120" w:line="360" w:lineRule="auto"/>
        <w:ind w:right="-28"/>
        <w:jc w:val="both"/>
        <w:rPr>
          <w:sz w:val="16"/>
          <w:szCs w:val="16"/>
        </w:rPr>
      </w:pPr>
      <w:hyperlink r:id="rId14" w:history="1">
        <w:r w:rsidR="00AF0B9B" w:rsidRPr="00AF0B9B">
          <w:rPr>
            <w:rStyle w:val="Hyperlink"/>
            <w:sz w:val="16"/>
            <w:szCs w:val="16"/>
          </w:rPr>
          <w:t>https://tinyurl.com/BasisVersionBVDM</w:t>
        </w:r>
      </w:hyperlink>
      <w:r w:rsidR="00337363" w:rsidRPr="00337363">
        <w:rPr>
          <w:sz w:val="16"/>
          <w:szCs w:val="16"/>
        </w:rPr>
        <w:tab/>
      </w:r>
      <w:r w:rsidR="00337363">
        <w:rPr>
          <w:sz w:val="16"/>
          <w:szCs w:val="16"/>
        </w:rPr>
        <w:tab/>
      </w:r>
      <w:hyperlink r:id="rId15" w:history="1">
        <w:r w:rsidR="00337363" w:rsidRPr="00AF0B9B">
          <w:rPr>
            <w:rStyle w:val="Hyperlink"/>
            <w:sz w:val="16"/>
            <w:szCs w:val="16"/>
          </w:rPr>
          <w:t>https://tinyurl.com/ProVersionBVDM</w:t>
        </w:r>
      </w:hyperlink>
    </w:p>
    <w:p w14:paraId="7A295977" w14:textId="77777777" w:rsidR="00F71684" w:rsidRPr="00F71684" w:rsidRDefault="00F71684" w:rsidP="00C9278B">
      <w:pPr>
        <w:spacing w:before="120" w:line="240" w:lineRule="exact"/>
        <w:ind w:right="-28"/>
        <w:jc w:val="both"/>
        <w:rPr>
          <w:sz w:val="18"/>
          <w:szCs w:val="18"/>
        </w:rPr>
      </w:pPr>
      <w:r w:rsidRPr="00F71684">
        <w:rPr>
          <w:sz w:val="18"/>
          <w:szCs w:val="18"/>
        </w:rPr>
        <w:t xml:space="preserve">Der </w:t>
      </w:r>
      <w:r w:rsidR="00CD670C">
        <w:rPr>
          <w:sz w:val="18"/>
          <w:szCs w:val="18"/>
        </w:rPr>
        <w:t xml:space="preserve">Handelsverband </w:t>
      </w:r>
      <w:r w:rsidRPr="00F71684">
        <w:rPr>
          <w:sz w:val="18"/>
          <w:szCs w:val="18"/>
        </w:rPr>
        <w:t>Möbel</w:t>
      </w:r>
      <w:r w:rsidR="00CD670C">
        <w:rPr>
          <w:sz w:val="18"/>
          <w:szCs w:val="18"/>
        </w:rPr>
        <w:t xml:space="preserve"> und Küchen</w:t>
      </w:r>
      <w:r w:rsidRPr="00F71684">
        <w:rPr>
          <w:sz w:val="18"/>
          <w:szCs w:val="18"/>
        </w:rPr>
        <w:t xml:space="preserve"> (BVDM) ist die berufspolitische und branchenfachliche Interessenvertretung des Fachhandels mit Möbeln, Küchen, und Einrichtungsgegenständen in Deutschland. Der Verband vertritt die Interessen von rund 8.500 Unternehmen an rund 10.000 Standorten mit ca. 100.000 Beschäftigten. Der BVDM ist </w:t>
      </w:r>
      <w:r w:rsidR="00CD670C">
        <w:rPr>
          <w:sz w:val="18"/>
          <w:szCs w:val="18"/>
        </w:rPr>
        <w:t>F</w:t>
      </w:r>
      <w:r w:rsidRPr="00F71684">
        <w:rPr>
          <w:sz w:val="18"/>
          <w:szCs w:val="18"/>
        </w:rPr>
        <w:t>achverband im Handelsverband Deutschland (HDE).</w:t>
      </w:r>
    </w:p>
    <w:p w14:paraId="1F5A1BC0" w14:textId="77777777" w:rsidR="00CD670C" w:rsidRPr="00CD670C" w:rsidRDefault="00CD670C" w:rsidP="00C9278B">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14:paraId="5EE74F6B" w14:textId="77777777" w:rsidR="00CD670C" w:rsidRPr="00CD670C" w:rsidRDefault="00CD670C" w:rsidP="00C9278B">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CD670C" w:rsidSect="00967899">
      <w:headerReference w:type="default" r:id="rId16"/>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4B13" w14:textId="77777777" w:rsidR="004F56FB" w:rsidRDefault="004F56FB">
      <w:r>
        <w:separator/>
      </w:r>
    </w:p>
  </w:endnote>
  <w:endnote w:type="continuationSeparator" w:id="0">
    <w:p w14:paraId="1447A64C" w14:textId="77777777" w:rsidR="004F56FB" w:rsidRDefault="004F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C776" w14:textId="77777777" w:rsidR="004F56FB" w:rsidRDefault="004F56FB">
      <w:r>
        <w:separator/>
      </w:r>
    </w:p>
  </w:footnote>
  <w:footnote w:type="continuationSeparator" w:id="0">
    <w:p w14:paraId="76179552" w14:textId="77777777" w:rsidR="004F56FB" w:rsidRDefault="004F5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14:paraId="33D2DA1A" w14:textId="254DC310" w:rsidR="001B2D9C" w:rsidRDefault="00BA53BA">
        <w:pPr>
          <w:pStyle w:val="Kopfzeile"/>
          <w:jc w:val="center"/>
        </w:pPr>
        <w:r>
          <w:fldChar w:fldCharType="begin"/>
        </w:r>
        <w:r>
          <w:instrText xml:space="preserve"> PAGE   \* MERGEFORMAT </w:instrText>
        </w:r>
        <w:r>
          <w:fldChar w:fldCharType="separate"/>
        </w:r>
        <w:r w:rsidR="00435029">
          <w:rPr>
            <w:noProof/>
          </w:rPr>
          <w:t>2</w:t>
        </w:r>
        <w:r>
          <w:rPr>
            <w:noProof/>
          </w:rPr>
          <w:fldChar w:fldCharType="end"/>
        </w:r>
      </w:p>
    </w:sdtContent>
  </w:sdt>
  <w:p w14:paraId="3B05EDC3"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FB"/>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37711"/>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37363"/>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2B6C"/>
    <w:rsid w:val="003F42A1"/>
    <w:rsid w:val="003F5AB2"/>
    <w:rsid w:val="003F73CC"/>
    <w:rsid w:val="004012B8"/>
    <w:rsid w:val="00402887"/>
    <w:rsid w:val="0040475B"/>
    <w:rsid w:val="004052EC"/>
    <w:rsid w:val="00415104"/>
    <w:rsid w:val="004168B6"/>
    <w:rsid w:val="0042484A"/>
    <w:rsid w:val="0042497D"/>
    <w:rsid w:val="00430FBB"/>
    <w:rsid w:val="00435029"/>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E6A3D"/>
    <w:rsid w:val="004F01D1"/>
    <w:rsid w:val="004F1414"/>
    <w:rsid w:val="004F1EA0"/>
    <w:rsid w:val="004F56FB"/>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2ABB"/>
    <w:rsid w:val="0057568D"/>
    <w:rsid w:val="005779FF"/>
    <w:rsid w:val="00582AC3"/>
    <w:rsid w:val="0058645A"/>
    <w:rsid w:val="005870AA"/>
    <w:rsid w:val="00590627"/>
    <w:rsid w:val="00590A71"/>
    <w:rsid w:val="00591EB6"/>
    <w:rsid w:val="00594994"/>
    <w:rsid w:val="00596431"/>
    <w:rsid w:val="00597D1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4C6"/>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C6F72"/>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0A65"/>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39A6"/>
    <w:rsid w:val="008D73C0"/>
    <w:rsid w:val="008D763B"/>
    <w:rsid w:val="008D7CC2"/>
    <w:rsid w:val="008E4268"/>
    <w:rsid w:val="008E4D91"/>
    <w:rsid w:val="008E6CC2"/>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038C8"/>
    <w:rsid w:val="00A106D5"/>
    <w:rsid w:val="00A15D14"/>
    <w:rsid w:val="00A41948"/>
    <w:rsid w:val="00A442CE"/>
    <w:rsid w:val="00A473B1"/>
    <w:rsid w:val="00A52F66"/>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0B9B"/>
    <w:rsid w:val="00AF1B46"/>
    <w:rsid w:val="00AF400C"/>
    <w:rsid w:val="00AF5FD9"/>
    <w:rsid w:val="00AF61FF"/>
    <w:rsid w:val="00B001B1"/>
    <w:rsid w:val="00B0044D"/>
    <w:rsid w:val="00B03654"/>
    <w:rsid w:val="00B14D68"/>
    <w:rsid w:val="00B17C85"/>
    <w:rsid w:val="00B212AA"/>
    <w:rsid w:val="00B240B2"/>
    <w:rsid w:val="00B242FA"/>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1179"/>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3617B"/>
    <w:rsid w:val="00C474D6"/>
    <w:rsid w:val="00C552F6"/>
    <w:rsid w:val="00C55978"/>
    <w:rsid w:val="00C56063"/>
    <w:rsid w:val="00C611AF"/>
    <w:rsid w:val="00C758CC"/>
    <w:rsid w:val="00C77ED5"/>
    <w:rsid w:val="00C917E8"/>
    <w:rsid w:val="00C9278B"/>
    <w:rsid w:val="00C92D0D"/>
    <w:rsid w:val="00C93716"/>
    <w:rsid w:val="00C93D63"/>
    <w:rsid w:val="00C971E3"/>
    <w:rsid w:val="00C97A6B"/>
    <w:rsid w:val="00CA72B7"/>
    <w:rsid w:val="00CB249A"/>
    <w:rsid w:val="00CB71AD"/>
    <w:rsid w:val="00CB78C2"/>
    <w:rsid w:val="00CC2F30"/>
    <w:rsid w:val="00CC402D"/>
    <w:rsid w:val="00CC456C"/>
    <w:rsid w:val="00CD3E46"/>
    <w:rsid w:val="00CD4E2C"/>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67F39"/>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324E"/>
    <w:rsid w:val="00DD604F"/>
    <w:rsid w:val="00DD69BB"/>
    <w:rsid w:val="00DD6CCA"/>
    <w:rsid w:val="00DD75CD"/>
    <w:rsid w:val="00DD7D64"/>
    <w:rsid w:val="00DE26E3"/>
    <w:rsid w:val="00DF3CA4"/>
    <w:rsid w:val="00DF5B5B"/>
    <w:rsid w:val="00E0062F"/>
    <w:rsid w:val="00E04285"/>
    <w:rsid w:val="00E1396F"/>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1F1D"/>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86248"/>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260DFB2"/>
  <w15:docId w15:val="{79682430-AA3A-41C2-AA46-D606CA76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styleId="Kommentarzeichen">
    <w:name w:val="annotation reference"/>
    <w:basedOn w:val="Absatz-Standardschriftart"/>
    <w:semiHidden/>
    <w:unhideWhenUsed/>
    <w:rsid w:val="005E34C6"/>
    <w:rPr>
      <w:sz w:val="16"/>
      <w:szCs w:val="16"/>
    </w:rPr>
  </w:style>
  <w:style w:type="paragraph" w:styleId="Kommentartext">
    <w:name w:val="annotation text"/>
    <w:basedOn w:val="Standard"/>
    <w:link w:val="KommentartextZchn"/>
    <w:semiHidden/>
    <w:unhideWhenUsed/>
    <w:rsid w:val="005E34C6"/>
  </w:style>
  <w:style w:type="character" w:customStyle="1" w:styleId="KommentartextZchn">
    <w:name w:val="Kommentartext Zchn"/>
    <w:basedOn w:val="Absatz-Standardschriftart"/>
    <w:link w:val="Kommentartext"/>
    <w:semiHidden/>
    <w:rsid w:val="005E34C6"/>
    <w:rPr>
      <w:rFonts w:ascii="Arial" w:hAnsi="Arial" w:cs="Arial"/>
    </w:rPr>
  </w:style>
  <w:style w:type="paragraph" w:styleId="Kommentarthema">
    <w:name w:val="annotation subject"/>
    <w:basedOn w:val="Kommentartext"/>
    <w:next w:val="Kommentartext"/>
    <w:link w:val="KommentarthemaZchn"/>
    <w:semiHidden/>
    <w:unhideWhenUsed/>
    <w:rsid w:val="005E34C6"/>
    <w:rPr>
      <w:b/>
      <w:bCs/>
    </w:rPr>
  </w:style>
  <w:style w:type="character" w:customStyle="1" w:styleId="KommentarthemaZchn">
    <w:name w:val="Kommentarthema Zchn"/>
    <w:basedOn w:val="KommentartextZchn"/>
    <w:link w:val="Kommentarthema"/>
    <w:semiHidden/>
    <w:rsid w:val="005E34C6"/>
    <w:rPr>
      <w:rFonts w:ascii="Arial" w:hAnsi="Arial" w:cs="Arial"/>
      <w:b/>
      <w:bCs/>
    </w:rPr>
  </w:style>
  <w:style w:type="character" w:styleId="Hyperlink">
    <w:name w:val="Hyperlink"/>
    <w:basedOn w:val="Absatz-Standardschriftart"/>
    <w:unhideWhenUsed/>
    <w:rsid w:val="00C9278B"/>
    <w:rPr>
      <w:color w:val="0000FF" w:themeColor="hyperlink"/>
      <w:u w:val="single"/>
    </w:rPr>
  </w:style>
  <w:style w:type="character" w:styleId="BesuchterLink">
    <w:name w:val="FollowedHyperlink"/>
    <w:basedOn w:val="Absatz-Standardschriftart"/>
    <w:semiHidden/>
    <w:unhideWhenUsed/>
    <w:rsid w:val="00D67F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BVDM_ADJ.pn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tinyurl.com/ProVersionBVDM"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bvdm@hwb.online" TargetMode="External"/><Relationship Id="rId14" Type="http://schemas.openxmlformats.org/officeDocument/2006/relationships/hyperlink" Target="https://tinyurl.com/BasisVersionBVD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CC97-BA5D-4FB8-83EC-87F99D53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2</Pages>
  <Words>402</Words>
  <Characters>3047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5</cp:revision>
  <cp:lastPrinted>2022-08-24T06:56:00Z</cp:lastPrinted>
  <dcterms:created xsi:type="dcterms:W3CDTF">2022-08-23T09:32:00Z</dcterms:created>
  <dcterms:modified xsi:type="dcterms:W3CDTF">2022-08-24T06:57:00Z</dcterms:modified>
  <cp:contentStatus/>
</cp:coreProperties>
</file>